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441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40"/>
        <w:gridCol w:w="353"/>
        <w:gridCol w:w="6916"/>
        <w:gridCol w:w="1572"/>
      </w:tblGrid>
      <w:tr w:rsidR="002C05EC" w:rsidRPr="00C910E1" w:rsidTr="007660BE">
        <w:trPr>
          <w:trHeight w:val="652"/>
        </w:trPr>
        <w:tc>
          <w:tcPr>
            <w:tcW w:w="15481" w:type="dxa"/>
            <w:gridSpan w:val="4"/>
            <w:vAlign w:val="center"/>
          </w:tcPr>
          <w:p w:rsidR="002C05EC" w:rsidRPr="00941AD5" w:rsidRDefault="002C05EC" w:rsidP="00D40B97">
            <w:pPr>
              <w:spacing w:line="276" w:lineRule="auto"/>
              <w:rPr>
                <w:rFonts w:asciiTheme="minorHAnsi" w:hAnsiTheme="minorHAnsi" w:cs="Tahoma"/>
              </w:rPr>
            </w:pPr>
            <w:r w:rsidRPr="00C910E1">
              <w:rPr>
                <w:rFonts w:ascii="Tahoma" w:hAnsi="Tahoma" w:cs="Tahoma"/>
                <w:sz w:val="40"/>
                <w:szCs w:val="40"/>
              </w:rPr>
              <w:t xml:space="preserve">  Analyse de Risques</w:t>
            </w:r>
            <w:r w:rsidR="006911BE">
              <w:rPr>
                <w:rFonts w:ascii="Tahoma" w:hAnsi="Tahoma" w:cs="Tahoma"/>
                <w:sz w:val="40"/>
                <w:szCs w:val="40"/>
              </w:rPr>
              <w:t xml:space="preserve"> échange standard tête de vanne 9 TEP 028 VD </w:t>
            </w:r>
            <w:r w:rsidR="00D40B97">
              <w:rPr>
                <w:rFonts w:ascii="Tahoma" w:hAnsi="Tahoma" w:cs="Tahoma"/>
                <w:sz w:val="40"/>
                <w:szCs w:val="40"/>
              </w:rPr>
              <w:t>n°5732</w:t>
            </w:r>
            <w:r w:rsidR="006911BE">
              <w:rPr>
                <w:rFonts w:ascii="Tahoma" w:hAnsi="Tahoma" w:cs="Tahoma"/>
                <w:sz w:val="40"/>
                <w:szCs w:val="40"/>
              </w:rPr>
              <w:t xml:space="preserve">  </w:t>
            </w:r>
            <w:r w:rsidR="00D40B97">
              <w:rPr>
                <w:rFonts w:ascii="Tahoma" w:hAnsi="Tahoma" w:cs="Tahoma"/>
                <w:sz w:val="40"/>
                <w:szCs w:val="40"/>
              </w:rPr>
              <w:t xml:space="preserve">   </w:t>
            </w:r>
            <w:r w:rsidR="006911BE">
              <w:rPr>
                <w:rFonts w:ascii="Tahoma" w:hAnsi="Tahoma" w:cs="Tahoma"/>
                <w:sz w:val="40"/>
                <w:szCs w:val="40"/>
              </w:rPr>
              <w:t xml:space="preserve">  </w:t>
            </w:r>
            <w:r w:rsidRPr="00C910E1">
              <w:rPr>
                <w:rFonts w:ascii="Tahoma" w:hAnsi="Tahoma" w:cs="Tahoma"/>
              </w:rPr>
              <w:t>page 1/</w:t>
            </w:r>
            <w:r w:rsidR="00936113">
              <w:rPr>
                <w:rFonts w:ascii="Tahoma" w:hAnsi="Tahoma" w:cs="Tahoma"/>
              </w:rPr>
              <w:t>1</w:t>
            </w:r>
          </w:p>
        </w:tc>
      </w:tr>
      <w:tr w:rsidR="002C05EC" w:rsidRPr="00C910E1" w:rsidTr="007660BE">
        <w:trPr>
          <w:trHeight w:val="714"/>
        </w:trPr>
        <w:tc>
          <w:tcPr>
            <w:tcW w:w="13909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2C05EC" w:rsidRPr="00C910E1" w:rsidRDefault="002C05EC" w:rsidP="00D40B97">
            <w:pPr>
              <w:rPr>
                <w:rFonts w:ascii="Tahoma" w:hAnsi="Tahoma" w:cs="Tahoma"/>
                <w:sz w:val="36"/>
                <w:szCs w:val="36"/>
              </w:rPr>
            </w:pPr>
            <w:r w:rsidRPr="00C910E1">
              <w:rPr>
                <w:rFonts w:ascii="Tahoma" w:hAnsi="Tahoma" w:cs="Tahoma"/>
                <w:sz w:val="36"/>
                <w:szCs w:val="36"/>
              </w:rPr>
              <w:t xml:space="preserve">  Phases d’activités : Interventions en zone </w:t>
            </w:r>
            <w:r w:rsidR="00D40B97">
              <w:rPr>
                <w:rFonts w:ascii="Tahoma" w:hAnsi="Tahoma" w:cs="Tahoma"/>
                <w:sz w:val="36"/>
                <w:szCs w:val="36"/>
              </w:rPr>
              <w:t xml:space="preserve">non </w:t>
            </w:r>
            <w:r w:rsidRPr="00C910E1">
              <w:rPr>
                <w:rFonts w:ascii="Tahoma" w:hAnsi="Tahoma" w:cs="Tahoma"/>
                <w:sz w:val="36"/>
                <w:szCs w:val="36"/>
              </w:rPr>
              <w:t>contrôlée : loca</w:t>
            </w:r>
            <w:r w:rsidR="00D40B97">
              <w:rPr>
                <w:rFonts w:ascii="Tahoma" w:hAnsi="Tahoma" w:cs="Tahoma"/>
                <w:sz w:val="36"/>
                <w:szCs w:val="36"/>
              </w:rPr>
              <w:t>l 9N358</w:t>
            </w:r>
          </w:p>
        </w:tc>
        <w:tc>
          <w:tcPr>
            <w:tcW w:w="15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C05EC" w:rsidRPr="00281E50" w:rsidRDefault="002C05EC" w:rsidP="00EA2653">
            <w:pPr>
              <w:jc w:val="center"/>
              <w:rPr>
                <w:rFonts w:ascii="Tahoma" w:hAnsi="Tahoma" w:cs="Tahoma"/>
                <w:sz w:val="22"/>
                <w:szCs w:val="22"/>
              </w:rPr>
            </w:pPr>
            <w:r w:rsidRPr="00281E50">
              <w:rPr>
                <w:rFonts w:ascii="Tahoma" w:hAnsi="Tahoma" w:cs="Tahoma"/>
                <w:sz w:val="22"/>
                <w:szCs w:val="22"/>
              </w:rPr>
              <w:t xml:space="preserve">Indice : </w:t>
            </w:r>
            <w:r w:rsidR="00281E50" w:rsidRPr="00281E50">
              <w:rPr>
                <w:rFonts w:ascii="Tahoma" w:hAnsi="Tahoma" w:cs="Tahoma"/>
                <w:sz w:val="22"/>
                <w:szCs w:val="22"/>
              </w:rPr>
              <w:t>0</w:t>
            </w:r>
            <w:r w:rsidR="00212CB7" w:rsidRPr="00281E50">
              <w:rPr>
                <w:rFonts w:ascii="Tahoma" w:hAnsi="Tahoma" w:cs="Tahoma"/>
                <w:sz w:val="22"/>
                <w:szCs w:val="22"/>
              </w:rPr>
              <w:t>0</w:t>
            </w:r>
            <w:r w:rsidR="00281E50" w:rsidRPr="00281E50">
              <w:rPr>
                <w:rFonts w:ascii="Tahoma" w:hAnsi="Tahoma" w:cs="Tahoma"/>
                <w:sz w:val="22"/>
                <w:szCs w:val="22"/>
              </w:rPr>
              <w:t>9</w:t>
            </w:r>
          </w:p>
        </w:tc>
      </w:tr>
      <w:tr w:rsidR="002C05EC" w:rsidRPr="00C910E1" w:rsidTr="007660BE">
        <w:trPr>
          <w:trHeight w:val="707"/>
        </w:trPr>
        <w:tc>
          <w:tcPr>
            <w:tcW w:w="664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05EC" w:rsidRPr="006012B5" w:rsidRDefault="006012B5" w:rsidP="00EA2653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6012B5">
              <w:rPr>
                <w:rFonts w:ascii="Tahoma" w:hAnsi="Tahoma" w:cs="Tahoma"/>
                <w:sz w:val="28"/>
                <w:szCs w:val="28"/>
              </w:rPr>
              <w:t xml:space="preserve">Évaluer les </w:t>
            </w:r>
            <w:r w:rsidRPr="006012B5">
              <w:rPr>
                <w:rFonts w:ascii="Tahoma" w:hAnsi="Tahoma" w:cs="Tahoma"/>
                <w:iCs/>
                <w:sz w:val="28"/>
                <w:szCs w:val="28"/>
              </w:rPr>
              <w:t>risques liés</w:t>
            </w:r>
            <w:r w:rsidRPr="006012B5">
              <w:rPr>
                <w:rFonts w:ascii="Tahoma" w:hAnsi="Tahoma" w:cs="Tahoma"/>
                <w:sz w:val="28"/>
                <w:szCs w:val="28"/>
              </w:rPr>
              <w:t xml:space="preserve"> </w:t>
            </w:r>
            <w:r w:rsidR="00574935" w:rsidRPr="006012B5">
              <w:rPr>
                <w:rFonts w:ascii="Tahoma" w:hAnsi="Tahoma" w:cs="Tahoma"/>
                <w:sz w:val="28"/>
                <w:szCs w:val="28"/>
              </w:rPr>
              <w:t xml:space="preserve"> à votre activité</w:t>
            </w:r>
          </w:p>
        </w:tc>
        <w:tc>
          <w:tcPr>
            <w:tcW w:w="35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:rsidR="002C05EC" w:rsidRPr="00C910E1" w:rsidRDefault="002C05EC" w:rsidP="00EA2653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  <w:tc>
          <w:tcPr>
            <w:tcW w:w="8488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C05EC" w:rsidRPr="00C910E1" w:rsidRDefault="002C05EC" w:rsidP="00EA2653">
            <w:pPr>
              <w:jc w:val="center"/>
              <w:rPr>
                <w:rFonts w:ascii="Tahoma" w:hAnsi="Tahoma" w:cs="Tahoma"/>
                <w:sz w:val="28"/>
                <w:szCs w:val="28"/>
              </w:rPr>
            </w:pPr>
            <w:r w:rsidRPr="00C910E1">
              <w:rPr>
                <w:rFonts w:ascii="Tahoma" w:hAnsi="Tahoma" w:cs="Tahoma"/>
                <w:sz w:val="28"/>
                <w:szCs w:val="28"/>
              </w:rPr>
              <w:t>Moyens de prévention : Para</w:t>
            </w:r>
            <w:bookmarkStart w:id="0" w:name="_GoBack"/>
            <w:bookmarkEnd w:id="0"/>
            <w:r w:rsidRPr="00C910E1">
              <w:rPr>
                <w:rFonts w:ascii="Tahoma" w:hAnsi="Tahoma" w:cs="Tahoma"/>
                <w:sz w:val="28"/>
                <w:szCs w:val="28"/>
              </w:rPr>
              <w:t>de</w:t>
            </w:r>
          </w:p>
        </w:tc>
      </w:tr>
      <w:tr w:rsidR="00D40B97" w:rsidRPr="00C910E1" w:rsidTr="007660BE">
        <w:trPr>
          <w:trHeight w:val="1501"/>
        </w:trPr>
        <w:tc>
          <w:tcPr>
            <w:tcW w:w="6640" w:type="dxa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Dégradation de matériel assurant des fonctions IPS</w:t>
            </w:r>
          </w:p>
        </w:tc>
        <w:tc>
          <w:tcPr>
            <w:tcW w:w="353" w:type="dxa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Porter une attention particulière au matériel fragile</w:t>
            </w:r>
          </w:p>
          <w:p w:rsidR="00D40B97" w:rsidRPr="00C910E1" w:rsidRDefault="00D40B97" w:rsidP="00941AD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C910E1">
              <w:rPr>
                <w:rFonts w:ascii="Arial" w:hAnsi="Arial" w:cs="Arial"/>
              </w:rPr>
              <w:t xml:space="preserve">(Capteur, manomètre etc…) </w:t>
            </w: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Effort physique</w:t>
            </w:r>
          </w:p>
        </w:tc>
        <w:tc>
          <w:tcPr>
            <w:tcW w:w="353" w:type="dxa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Default="00D40B97" w:rsidP="00EA2653">
            <w:pP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                                         </w:t>
            </w:r>
            <w:r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>REGIME DE CONSIGNATION REGIME</w:t>
            </w:r>
          </w:p>
          <w:p w:rsidR="007660BE" w:rsidRPr="009600A3" w:rsidRDefault="007660BE" w:rsidP="00EA2653">
            <w:pPr>
              <w:rPr>
                <w:rFonts w:ascii="Arial" w:hAnsi="Arial" w:cs="Arial"/>
                <w:color w:val="FF0000"/>
                <w:u w:color="000000"/>
              </w:rPr>
            </w:pPr>
          </w:p>
        </w:tc>
      </w:tr>
      <w:tr w:rsidR="00D40B97" w:rsidRPr="00C910E1" w:rsidTr="007660BE">
        <w:trPr>
          <w:trHeight w:val="730"/>
        </w:trPr>
        <w:tc>
          <w:tcPr>
            <w:tcW w:w="6640" w:type="dxa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Chute avec dénivellation</w:t>
            </w:r>
            <w:r>
              <w:rPr>
                <w:rFonts w:ascii="Arial" w:hAnsi="Arial" w:cs="Arial"/>
              </w:rPr>
              <w:t xml:space="preserve">, </w:t>
            </w:r>
            <w:r w:rsidRPr="00536754">
              <w:rPr>
                <w:rFonts w:ascii="Arial" w:hAnsi="Arial" w:cs="Arial"/>
                <w:sz w:val="18"/>
              </w:rPr>
              <w:t xml:space="preserve"> </w:t>
            </w:r>
            <w:r w:rsidRPr="00536754">
              <w:rPr>
                <w:rFonts w:ascii="Arial" w:hAnsi="Arial" w:cs="Arial"/>
              </w:rPr>
              <w:t>Sol dégradé</w:t>
            </w:r>
          </w:p>
        </w:tc>
        <w:tc>
          <w:tcPr>
            <w:tcW w:w="353" w:type="dxa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Balisage accès, pictogramme</w:t>
            </w:r>
            <w:r>
              <w:rPr>
                <w:rFonts w:ascii="Arial" w:hAnsi="Arial" w:cs="Arial"/>
              </w:rPr>
              <w:t>s, é</w:t>
            </w:r>
            <w:r w:rsidRPr="00536754">
              <w:rPr>
                <w:rFonts w:ascii="Arial" w:hAnsi="Arial" w:cs="Arial"/>
              </w:rPr>
              <w:t>tat des lieux avant chantier</w:t>
            </w: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 xml:space="preserve">Chute d’objet </w:t>
            </w:r>
            <w:r w:rsidRPr="00692472">
              <w:rPr>
                <w:rFonts w:ascii="Arial" w:hAnsi="Arial" w:cs="Arial"/>
                <w:sz w:val="18"/>
              </w:rPr>
              <w:t xml:space="preserve"> </w:t>
            </w:r>
            <w:r w:rsidRPr="00692472">
              <w:rPr>
                <w:rFonts w:ascii="Arial" w:hAnsi="Arial" w:cs="Arial"/>
              </w:rPr>
              <w:t xml:space="preserve">à travers le </w:t>
            </w:r>
            <w:r w:rsidRPr="00C910E1">
              <w:rPr>
                <w:rFonts w:ascii="Arial" w:hAnsi="Arial" w:cs="Arial"/>
              </w:rPr>
              <w:t>caillebotis</w:t>
            </w:r>
          </w:p>
        </w:tc>
        <w:tc>
          <w:tcPr>
            <w:tcW w:w="353" w:type="dxa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Default="00D40B97" w:rsidP="00EA2653">
            <w:pP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                                         </w:t>
            </w:r>
            <w:r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>REGIME DE CONSIGNATION REGIME</w:t>
            </w:r>
          </w:p>
          <w:p w:rsidR="007660BE" w:rsidRPr="00C910E1" w:rsidRDefault="007660BE" w:rsidP="00EA2653">
            <w:pPr>
              <w:rPr>
                <w:rFonts w:ascii="Arial" w:hAnsi="Arial" w:cs="Arial"/>
              </w:rPr>
            </w:pP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Introduction de corps étranger</w:t>
            </w:r>
          </w:p>
        </w:tc>
        <w:tc>
          <w:tcPr>
            <w:tcW w:w="353" w:type="dxa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Pr="009600A3" w:rsidRDefault="007660BE" w:rsidP="00EA2653">
            <w:pPr>
              <w:rPr>
                <w:rFonts w:ascii="Arial" w:hAnsi="Arial" w:cs="Arial"/>
                <w:color w:val="FF0000"/>
                <w:u w:color="000000"/>
              </w:rPr>
            </w:pPr>
            <w:r w:rsidRPr="007660BE">
              <w:rPr>
                <w:rFonts w:ascii="Arial" w:hAnsi="Arial" w:cs="Arial"/>
                <w:u w:color="000000"/>
              </w:rPr>
              <w:t>Mise en place de la procédure FME, balisage, obturateur, attache outil ou inventaire.</w:t>
            </w: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 xml:space="preserve">Fuite, égoutture </w:t>
            </w:r>
          </w:p>
        </w:tc>
        <w:tc>
          <w:tcPr>
            <w:tcW w:w="353" w:type="dxa"/>
          </w:tcPr>
          <w:p w:rsidR="00D40B97" w:rsidRPr="00C910E1" w:rsidRDefault="00D40B97" w:rsidP="00EA2653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Default="00D40B97" w:rsidP="00EA2653">
            <w:pP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                                         </w:t>
            </w:r>
            <w:r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>REGIME DE CONSIGNATION REGIME</w:t>
            </w:r>
          </w:p>
          <w:p w:rsidR="007660BE" w:rsidRPr="00C910E1" w:rsidRDefault="007660BE" w:rsidP="00EA2653">
            <w:pPr>
              <w:rPr>
                <w:rFonts w:ascii="Arial" w:hAnsi="Arial" w:cs="Arial"/>
              </w:rPr>
            </w:pP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941AD5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Risque d’erreur de pièce de rechange</w:t>
            </w:r>
          </w:p>
        </w:tc>
        <w:tc>
          <w:tcPr>
            <w:tcW w:w="353" w:type="dxa"/>
          </w:tcPr>
          <w:p w:rsidR="00D40B97" w:rsidRPr="00C910E1" w:rsidRDefault="00D40B97" w:rsidP="00941AD5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Default="00D40B97" w:rsidP="00941AD5">
            <w:pP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                                         </w:t>
            </w:r>
            <w:r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>REGIME DE CONSIGNATION REGIME</w:t>
            </w:r>
          </w:p>
          <w:p w:rsidR="007660BE" w:rsidRPr="009600A3" w:rsidRDefault="007660BE" w:rsidP="00941AD5">
            <w:pPr>
              <w:rPr>
                <w:rFonts w:ascii="Arial" w:hAnsi="Arial" w:cs="Arial"/>
                <w:color w:val="FF0000"/>
                <w:u w:color="000000"/>
              </w:rPr>
            </w:pP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941AD5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Outillages (caisse à outils)</w:t>
            </w:r>
          </w:p>
        </w:tc>
        <w:tc>
          <w:tcPr>
            <w:tcW w:w="353" w:type="dxa"/>
          </w:tcPr>
          <w:p w:rsidR="00D40B97" w:rsidRPr="00C910E1" w:rsidRDefault="00D40B97" w:rsidP="00941AD5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Default="00D40B97" w:rsidP="00941AD5">
            <w:pP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                                         </w:t>
            </w:r>
            <w:r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>REGIME DE CONSIGNATION REGIME</w:t>
            </w:r>
          </w:p>
          <w:p w:rsidR="007660BE" w:rsidRPr="00C910E1" w:rsidRDefault="007660BE" w:rsidP="00941AD5">
            <w:pPr>
              <w:rPr>
                <w:rFonts w:ascii="Arial" w:hAnsi="Arial" w:cs="Arial"/>
              </w:rPr>
            </w:pP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Pr="00C910E1" w:rsidRDefault="00D40B97" w:rsidP="00941AD5">
            <w:pPr>
              <w:rPr>
                <w:rFonts w:ascii="Arial" w:hAnsi="Arial" w:cs="Arial"/>
              </w:rPr>
            </w:pPr>
            <w:r w:rsidRPr="00C910E1">
              <w:rPr>
                <w:rFonts w:ascii="Arial" w:hAnsi="Arial" w:cs="Arial"/>
              </w:rPr>
              <w:t>Chute d’outillage</w:t>
            </w:r>
          </w:p>
        </w:tc>
        <w:tc>
          <w:tcPr>
            <w:tcW w:w="353" w:type="dxa"/>
          </w:tcPr>
          <w:p w:rsidR="00D40B97" w:rsidRPr="00C910E1" w:rsidRDefault="00D40B97" w:rsidP="00941AD5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Pr="009600A3" w:rsidRDefault="00D40B97" w:rsidP="00941AD5">
            <w:pPr>
              <w:rPr>
                <w:rFonts w:ascii="Arial" w:hAnsi="Arial" w:cs="Arial"/>
                <w:color w:val="FF0000"/>
                <w:u w:color="000000"/>
              </w:rPr>
            </w:pPr>
            <w:r w:rsidRPr="00C910E1">
              <w:rPr>
                <w:rFonts w:ascii="Arial" w:hAnsi="Arial" w:cs="Arial"/>
              </w:rPr>
              <w:t>Port des Protections Individuelles et adaptées</w:t>
            </w:r>
            <w:r w:rsidR="007660BE">
              <w:rPr>
                <w:rFonts w:ascii="Arial" w:hAnsi="Arial" w:cs="Arial"/>
              </w:rPr>
              <w:t> :_ _ _ _ _ _ _ _ _ _ _ _ _ _ _ _</w:t>
            </w:r>
          </w:p>
        </w:tc>
      </w:tr>
      <w:tr w:rsidR="00D40B97" w:rsidRPr="00C910E1" w:rsidTr="007660BE">
        <w:trPr>
          <w:trHeight w:val="353"/>
        </w:trPr>
        <w:tc>
          <w:tcPr>
            <w:tcW w:w="6640" w:type="dxa"/>
            <w:vAlign w:val="center"/>
          </w:tcPr>
          <w:p w:rsidR="00D40B97" w:rsidRDefault="00D40B97" w:rsidP="00D40B97">
            <w:pPr>
              <w:rPr>
                <w:rFonts w:ascii="Arial" w:hAnsi="Arial" w:cs="Arial"/>
              </w:rPr>
            </w:pPr>
            <w:r w:rsidRPr="00536754">
              <w:rPr>
                <w:rFonts w:ascii="Arial" w:hAnsi="Arial" w:cs="Arial"/>
              </w:rPr>
              <w:t>Ambiance thermique</w:t>
            </w:r>
            <w:r>
              <w:rPr>
                <w:rFonts w:ascii="Arial" w:hAnsi="Arial" w:cs="Arial"/>
              </w:rPr>
              <w:t> :</w:t>
            </w:r>
          </w:p>
          <w:p w:rsidR="00D40B97" w:rsidRDefault="00D40B97" w:rsidP="00D4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536754">
              <w:rPr>
                <w:rFonts w:ascii="Arial" w:hAnsi="Arial" w:cs="Arial"/>
              </w:rPr>
              <w:t>Travail en température &gt; 30°C</w:t>
            </w:r>
          </w:p>
          <w:p w:rsidR="00D40B97" w:rsidRPr="00C910E1" w:rsidRDefault="00D40B97" w:rsidP="00D4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536754">
              <w:rPr>
                <w:rFonts w:ascii="Arial" w:hAnsi="Arial" w:cs="Arial"/>
              </w:rPr>
              <w:t>Travail en température &lt; 10°C</w:t>
            </w:r>
          </w:p>
        </w:tc>
        <w:tc>
          <w:tcPr>
            <w:tcW w:w="353" w:type="dxa"/>
          </w:tcPr>
          <w:p w:rsidR="00D40B97" w:rsidRPr="00C910E1" w:rsidRDefault="00D40B97" w:rsidP="00D40B97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D40B97" w:rsidRDefault="00D40B97" w:rsidP="00D40B97">
            <w:pPr>
              <w:rPr>
                <w:rFonts w:ascii="Arial" w:hAnsi="Arial" w:cs="Arial"/>
              </w:rPr>
            </w:pPr>
            <w:r w:rsidRPr="00536754">
              <w:rPr>
                <w:rFonts w:ascii="Arial" w:hAnsi="Arial" w:cs="Arial"/>
              </w:rPr>
              <w:t>Vêtement adapté</w:t>
            </w:r>
          </w:p>
          <w:p w:rsidR="00D40B97" w:rsidRDefault="00D40B97" w:rsidP="00D4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536754">
              <w:rPr>
                <w:rFonts w:ascii="Arial" w:hAnsi="Arial" w:cs="Arial"/>
              </w:rPr>
              <w:t xml:space="preserve">Mesures de température. Limitation des temps d’intervention. </w:t>
            </w:r>
          </w:p>
          <w:p w:rsidR="00D40B97" w:rsidRPr="00C910E1" w:rsidRDefault="00D40B97" w:rsidP="00D4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</w:t>
            </w:r>
            <w:r w:rsidRPr="00536754">
              <w:rPr>
                <w:rFonts w:ascii="Arial" w:hAnsi="Arial" w:cs="Arial"/>
              </w:rPr>
              <w:t>Respect de la Durée Limite d’Exposition (DLE)</w:t>
            </w:r>
          </w:p>
        </w:tc>
      </w:tr>
      <w:tr w:rsidR="007660BE" w:rsidRPr="00C910E1" w:rsidTr="007660BE">
        <w:trPr>
          <w:trHeight w:val="353"/>
        </w:trPr>
        <w:tc>
          <w:tcPr>
            <w:tcW w:w="6640" w:type="dxa"/>
            <w:vAlign w:val="center"/>
          </w:tcPr>
          <w:p w:rsidR="007660BE" w:rsidRPr="00C910E1" w:rsidRDefault="002D6497" w:rsidP="00D40B9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Manutention</w:t>
            </w:r>
          </w:p>
        </w:tc>
        <w:tc>
          <w:tcPr>
            <w:tcW w:w="353" w:type="dxa"/>
          </w:tcPr>
          <w:p w:rsidR="007660BE" w:rsidRPr="00C910E1" w:rsidRDefault="007660BE" w:rsidP="00D40B97">
            <w:pPr>
              <w:rPr>
                <w:rFonts w:ascii="Arial" w:hAnsi="Arial" w:cs="Arial"/>
              </w:rPr>
            </w:pPr>
          </w:p>
        </w:tc>
        <w:tc>
          <w:tcPr>
            <w:tcW w:w="8488" w:type="dxa"/>
            <w:gridSpan w:val="2"/>
            <w:vAlign w:val="center"/>
          </w:tcPr>
          <w:p w:rsidR="002D6497" w:rsidRDefault="002D6497" w:rsidP="002D6497">
            <w:pP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</w:pPr>
            <w:r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 xml:space="preserve">                                          </w:t>
            </w:r>
            <w:r w:rsidRPr="003C52EA">
              <w:rPr>
                <w:rFonts w:asciiTheme="minorHAnsi" w:hAnsiTheme="minorHAnsi" w:cs="Tahoma"/>
                <w:b/>
                <w:color w:val="FFFFFF" w:themeColor="background1"/>
                <w:sz w:val="22"/>
                <w:szCs w:val="22"/>
                <w:u w:val="dash" w:color="000000" w:themeColor="text1"/>
              </w:rPr>
              <w:t>REGIME DE CONSIGNATION REGIME</w:t>
            </w:r>
          </w:p>
          <w:p w:rsidR="007660BE" w:rsidRPr="009600A3" w:rsidRDefault="007660BE" w:rsidP="00D40B97">
            <w:pPr>
              <w:rPr>
                <w:rFonts w:ascii="Arial" w:hAnsi="Arial" w:cs="Arial"/>
                <w:color w:val="FF0000"/>
                <w:u w:color="000000"/>
              </w:rPr>
            </w:pPr>
          </w:p>
        </w:tc>
      </w:tr>
    </w:tbl>
    <w:p w:rsidR="00574935" w:rsidRDefault="00574935" w:rsidP="00D40B97"/>
    <w:sectPr w:rsidR="00574935" w:rsidSect="00EA2653">
      <w:headerReference w:type="default" r:id="rId7"/>
      <w:pgSz w:w="16838" w:h="11906" w:orient="landscape" w:code="9"/>
      <w:pgMar w:top="864" w:right="454" w:bottom="454" w:left="873" w:header="42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4505D" w:rsidRDefault="0064505D">
      <w:r>
        <w:separator/>
      </w:r>
    </w:p>
  </w:endnote>
  <w:endnote w:type="continuationSeparator" w:id="0">
    <w:p w:rsidR="0064505D" w:rsidRDefault="00645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4505D" w:rsidRDefault="0064505D">
      <w:r>
        <w:separator/>
      </w:r>
    </w:p>
  </w:footnote>
  <w:footnote w:type="continuationSeparator" w:id="0">
    <w:p w:rsidR="0064505D" w:rsidRDefault="00645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566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418"/>
      <w:gridCol w:w="8008"/>
      <w:gridCol w:w="4678"/>
      <w:gridCol w:w="1559"/>
    </w:tblGrid>
    <w:tr w:rsidR="006911BE" w:rsidRPr="006826F2" w:rsidTr="006911BE">
      <w:trPr>
        <w:trHeight w:val="258"/>
      </w:trPr>
      <w:tc>
        <w:tcPr>
          <w:tcW w:w="1418" w:type="dxa"/>
          <w:tcBorders>
            <w:right w:val="single" w:sz="12" w:space="0" w:color="auto"/>
          </w:tcBorders>
          <w:vAlign w:val="center"/>
        </w:tcPr>
        <w:p w:rsidR="006911BE" w:rsidRPr="006826F2" w:rsidRDefault="006911BE" w:rsidP="006911BE">
          <w:pPr>
            <w:tabs>
              <w:tab w:val="center" w:pos="4536"/>
              <w:tab w:val="right" w:pos="9072"/>
            </w:tabs>
            <w:jc w:val="center"/>
            <w:rPr>
              <w:rFonts w:asciiTheme="minorHAnsi" w:hAnsiTheme="minorHAnsi"/>
              <w:sz w:val="32"/>
              <w:szCs w:val="28"/>
            </w:rPr>
          </w:pPr>
          <w:r w:rsidRPr="00814A70">
            <w:rPr>
              <w:rFonts w:asciiTheme="minorHAnsi" w:hAnsiTheme="minorHAnsi"/>
              <w:noProof/>
              <w:sz w:val="32"/>
              <w:szCs w:val="28"/>
            </w:rPr>
            <w:drawing>
              <wp:inline distT="0" distB="0" distL="0" distR="0" wp14:anchorId="6013BBA0" wp14:editId="7011E055">
                <wp:extent cx="438150" cy="308781"/>
                <wp:effectExtent l="19050" t="0" r="0" b="0"/>
                <wp:docPr id="1" name="Imag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39868" cy="30999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08" w:type="dxa"/>
          <w:vAlign w:val="center"/>
        </w:tcPr>
        <w:p w:rsidR="006911BE" w:rsidRPr="0016161C" w:rsidRDefault="006911BE" w:rsidP="006911BE">
          <w:pPr>
            <w:pStyle w:val="En-tte"/>
            <w:jc w:val="center"/>
            <w:rPr>
              <w:rFonts w:asciiTheme="minorHAnsi" w:hAnsiTheme="minorHAnsi"/>
              <w:sz w:val="32"/>
              <w:szCs w:val="28"/>
            </w:rPr>
          </w:pPr>
          <w:r>
            <w:rPr>
              <w:rFonts w:asciiTheme="minorHAnsi" w:hAnsiTheme="minorHAnsi"/>
              <w:b/>
              <w:sz w:val="32"/>
              <w:szCs w:val="28"/>
            </w:rPr>
            <w:t>Echange standard tête de vanne 9 TEP 028 VD</w:t>
          </w:r>
        </w:p>
      </w:tc>
      <w:tc>
        <w:tcPr>
          <w:tcW w:w="4678" w:type="dxa"/>
          <w:vAlign w:val="center"/>
        </w:tcPr>
        <w:p w:rsidR="006911BE" w:rsidRPr="006826F2" w:rsidRDefault="006911BE" w:rsidP="006911BE">
          <w:pPr>
            <w:jc w:val="center"/>
            <w:rPr>
              <w:rFonts w:ascii="Arial" w:hAnsi="Arial" w:cs="Arial"/>
              <w:sz w:val="28"/>
              <w:szCs w:val="28"/>
            </w:rPr>
          </w:pPr>
          <w:proofErr w:type="spellStart"/>
          <w:r>
            <w:rPr>
              <w:rFonts w:ascii="Arial" w:hAnsi="Arial" w:cs="Arial"/>
              <w:sz w:val="28"/>
              <w:szCs w:val="28"/>
            </w:rPr>
            <w:t>AdR</w:t>
          </w:r>
          <w:proofErr w:type="spellEnd"/>
        </w:p>
      </w:tc>
      <w:tc>
        <w:tcPr>
          <w:tcW w:w="1559" w:type="dxa"/>
          <w:vAlign w:val="center"/>
        </w:tcPr>
        <w:p w:rsidR="006911BE" w:rsidRPr="006826F2" w:rsidRDefault="006911BE" w:rsidP="006911BE">
          <w:pPr>
            <w:jc w:val="center"/>
            <w:rPr>
              <w:rFonts w:asciiTheme="minorHAnsi" w:hAnsiTheme="minorHAnsi" w:cs="Tahoma"/>
              <w:sz w:val="28"/>
              <w:szCs w:val="28"/>
            </w:rPr>
          </w:pPr>
          <w:r>
            <w:rPr>
              <w:rFonts w:asciiTheme="minorHAnsi" w:hAnsiTheme="minorHAnsi" w:cs="Tahoma"/>
              <w:sz w:val="28"/>
              <w:szCs w:val="28"/>
            </w:rPr>
            <w:t>DT5</w:t>
          </w:r>
        </w:p>
      </w:tc>
    </w:tr>
  </w:tbl>
  <w:p w:rsidR="00EA2653" w:rsidRDefault="00EA2653">
    <w:pPr>
      <w:pStyle w:val="En-tte"/>
    </w:pPr>
  </w:p>
  <w:p w:rsidR="00EA2653" w:rsidRDefault="00EA265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12158D"/>
    <w:multiLevelType w:val="hybridMultilevel"/>
    <w:tmpl w:val="2BC6DAA0"/>
    <w:lvl w:ilvl="0" w:tplc="E64EE1EE">
      <w:start w:val="1"/>
      <w:numFmt w:val="bullet"/>
      <w:lvlText w:val=""/>
      <w:lvlJc w:val="left"/>
      <w:pPr>
        <w:tabs>
          <w:tab w:val="num" w:pos="567"/>
        </w:tabs>
        <w:ind w:left="2160" w:hanging="2160"/>
      </w:pPr>
      <w:rPr>
        <w:rFonts w:ascii="Symbol" w:hAnsi="Symbol" w:hint="default"/>
        <w:color w:val="auto"/>
        <w:sz w:val="36"/>
        <w:szCs w:val="36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CD2"/>
    <w:rsid w:val="0002295C"/>
    <w:rsid w:val="00052EB7"/>
    <w:rsid w:val="000578DB"/>
    <w:rsid w:val="00085DD5"/>
    <w:rsid w:val="00092C31"/>
    <w:rsid w:val="000A0857"/>
    <w:rsid w:val="00103502"/>
    <w:rsid w:val="001210B3"/>
    <w:rsid w:val="00152470"/>
    <w:rsid w:val="0016024A"/>
    <w:rsid w:val="00163E23"/>
    <w:rsid w:val="001715BA"/>
    <w:rsid w:val="0017449B"/>
    <w:rsid w:val="001758EE"/>
    <w:rsid w:val="00185790"/>
    <w:rsid w:val="00191C4F"/>
    <w:rsid w:val="001978C4"/>
    <w:rsid w:val="001A0F72"/>
    <w:rsid w:val="001A2B7D"/>
    <w:rsid w:val="001D1E5A"/>
    <w:rsid w:val="001E5F24"/>
    <w:rsid w:val="00212CB7"/>
    <w:rsid w:val="00224E23"/>
    <w:rsid w:val="00232258"/>
    <w:rsid w:val="00261AD6"/>
    <w:rsid w:val="00263793"/>
    <w:rsid w:val="00281E50"/>
    <w:rsid w:val="002C05EC"/>
    <w:rsid w:val="002D6497"/>
    <w:rsid w:val="00331884"/>
    <w:rsid w:val="0033625A"/>
    <w:rsid w:val="00355F50"/>
    <w:rsid w:val="00383C18"/>
    <w:rsid w:val="003D100E"/>
    <w:rsid w:val="003D2823"/>
    <w:rsid w:val="003D58B3"/>
    <w:rsid w:val="003E53F7"/>
    <w:rsid w:val="00402D42"/>
    <w:rsid w:val="00406FBA"/>
    <w:rsid w:val="00415219"/>
    <w:rsid w:val="00431E83"/>
    <w:rsid w:val="004B3B3A"/>
    <w:rsid w:val="00536754"/>
    <w:rsid w:val="00574935"/>
    <w:rsid w:val="005A05CE"/>
    <w:rsid w:val="005E0BDA"/>
    <w:rsid w:val="005E173E"/>
    <w:rsid w:val="006012B5"/>
    <w:rsid w:val="00622A9A"/>
    <w:rsid w:val="00625981"/>
    <w:rsid w:val="0064505D"/>
    <w:rsid w:val="00647EB8"/>
    <w:rsid w:val="006908EC"/>
    <w:rsid w:val="006911BE"/>
    <w:rsid w:val="00692472"/>
    <w:rsid w:val="006B2F67"/>
    <w:rsid w:val="006E2C53"/>
    <w:rsid w:val="006F2676"/>
    <w:rsid w:val="006F62EA"/>
    <w:rsid w:val="00702C9B"/>
    <w:rsid w:val="007163C3"/>
    <w:rsid w:val="00732B76"/>
    <w:rsid w:val="007660BE"/>
    <w:rsid w:val="0077656B"/>
    <w:rsid w:val="00791321"/>
    <w:rsid w:val="007947EB"/>
    <w:rsid w:val="007967F1"/>
    <w:rsid w:val="007A500E"/>
    <w:rsid w:val="007A6BC5"/>
    <w:rsid w:val="007D2517"/>
    <w:rsid w:val="008075E6"/>
    <w:rsid w:val="0081186D"/>
    <w:rsid w:val="00814A70"/>
    <w:rsid w:val="00836215"/>
    <w:rsid w:val="00837338"/>
    <w:rsid w:val="00844609"/>
    <w:rsid w:val="008450E0"/>
    <w:rsid w:val="00845256"/>
    <w:rsid w:val="00846137"/>
    <w:rsid w:val="008A29C5"/>
    <w:rsid w:val="008F0838"/>
    <w:rsid w:val="008F1F55"/>
    <w:rsid w:val="00902670"/>
    <w:rsid w:val="00936113"/>
    <w:rsid w:val="00941AD5"/>
    <w:rsid w:val="009455B3"/>
    <w:rsid w:val="00947CD5"/>
    <w:rsid w:val="009600A3"/>
    <w:rsid w:val="00960970"/>
    <w:rsid w:val="00962369"/>
    <w:rsid w:val="009859F3"/>
    <w:rsid w:val="00992CD2"/>
    <w:rsid w:val="009E4F16"/>
    <w:rsid w:val="00A121BB"/>
    <w:rsid w:val="00A273C1"/>
    <w:rsid w:val="00A31951"/>
    <w:rsid w:val="00A36280"/>
    <w:rsid w:val="00A422E3"/>
    <w:rsid w:val="00A45302"/>
    <w:rsid w:val="00A6424A"/>
    <w:rsid w:val="00A64297"/>
    <w:rsid w:val="00A77280"/>
    <w:rsid w:val="00AB3D8D"/>
    <w:rsid w:val="00B04DBF"/>
    <w:rsid w:val="00B05811"/>
    <w:rsid w:val="00B32060"/>
    <w:rsid w:val="00B323F3"/>
    <w:rsid w:val="00B40849"/>
    <w:rsid w:val="00B44DD1"/>
    <w:rsid w:val="00B6708E"/>
    <w:rsid w:val="00B72AE1"/>
    <w:rsid w:val="00B92622"/>
    <w:rsid w:val="00BA01E1"/>
    <w:rsid w:val="00BE01F5"/>
    <w:rsid w:val="00BE38E1"/>
    <w:rsid w:val="00BE68E6"/>
    <w:rsid w:val="00C3418A"/>
    <w:rsid w:val="00C52A7E"/>
    <w:rsid w:val="00C553E6"/>
    <w:rsid w:val="00C910E1"/>
    <w:rsid w:val="00CA2297"/>
    <w:rsid w:val="00CD3DA4"/>
    <w:rsid w:val="00D40B97"/>
    <w:rsid w:val="00D46E0F"/>
    <w:rsid w:val="00D52881"/>
    <w:rsid w:val="00DC584C"/>
    <w:rsid w:val="00DF016A"/>
    <w:rsid w:val="00DF2B00"/>
    <w:rsid w:val="00E07D2B"/>
    <w:rsid w:val="00E07D4C"/>
    <w:rsid w:val="00E444A0"/>
    <w:rsid w:val="00E802C4"/>
    <w:rsid w:val="00E90B6F"/>
    <w:rsid w:val="00E9743D"/>
    <w:rsid w:val="00EA113E"/>
    <w:rsid w:val="00EA1471"/>
    <w:rsid w:val="00EA2653"/>
    <w:rsid w:val="00EA3B00"/>
    <w:rsid w:val="00EC3F4C"/>
    <w:rsid w:val="00EF04BE"/>
    <w:rsid w:val="00F31175"/>
    <w:rsid w:val="00F317B0"/>
    <w:rsid w:val="00FA31B3"/>
    <w:rsid w:val="00FA6A36"/>
    <w:rsid w:val="00FB07B9"/>
    <w:rsid w:val="00FC3159"/>
    <w:rsid w:val="00FC5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F57E1C7"/>
  <w15:docId w15:val="{295114A8-DE3B-4BAA-8BC3-BDDB87554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rsid w:val="00947CD5"/>
    <w:pPr>
      <w:keepNext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A500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rsid w:val="001210B3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Numrodepage">
    <w:name w:val="page number"/>
    <w:basedOn w:val="Policepardfaut"/>
    <w:rsid w:val="001210B3"/>
  </w:style>
  <w:style w:type="paragraph" w:styleId="Pieddepage">
    <w:name w:val="footer"/>
    <w:basedOn w:val="Normal"/>
    <w:rsid w:val="00331884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A2653"/>
  </w:style>
  <w:style w:type="paragraph" w:styleId="Textedebulles">
    <w:name w:val="Balloon Text"/>
    <w:basedOn w:val="Normal"/>
    <w:link w:val="TextedebullesCar"/>
    <w:rsid w:val="00EA265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EA26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C4C0A89D</Template>
  <TotalTime>4</TotalTime>
  <Pages>1</Pages>
  <Words>236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Analyse de Risques sur l’Environnement de l’Opération n° 9009</vt:lpstr>
    </vt:vector>
  </TitlesOfParts>
  <Company>CLP</Company>
  <LinksUpToDate>false</LinksUpToDate>
  <CharactersWithSpaces>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Analyse de Risques sur l’Environnement de l’Opération n° 9009</dc:title>
  <dc:creator>Francis Bourgeois</dc:creator>
  <cp:lastModifiedBy>maintenance</cp:lastModifiedBy>
  <cp:revision>4</cp:revision>
  <dcterms:created xsi:type="dcterms:W3CDTF">2024-01-09T13:26:00Z</dcterms:created>
  <dcterms:modified xsi:type="dcterms:W3CDTF">2024-01-09T13:30:00Z</dcterms:modified>
</cp:coreProperties>
</file>